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Реквизиты оператора</w:t>
      </w:r>
    </w:p>
    <w:p>
      <w:r>
        <w:t xml:space="preserve">ИП оператора и подтверждённый адрес для корреспонденции.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Оператор сервиса «Завез»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ФИО, ИНН, ОГРНИП, дата регистрации и регистрирующий орган сверены с выпиской ЕГРИП ФНС от 5 октября 2026 года. Адрес на Южной указан по подтверждению предпринимателя как адрес для корреспонденции, а не как подтверждённый выпиской адрес регистрации.</w:t>
      </w:r>
    </w:p>
    <w:p>
      <w:pPr>
        <w:pStyle w:val="Heading1"/>
      </w:pPr>
      <w:r>
        <w:t xml:space="preserve">2. Обращения</w:t>
      </w:r>
    </w:p>
    <w:p>
      <w:pPr>
        <w:widowControl/>
      </w:pPr>
      <w:r>
        <w:t xml:space="preserve">Письменные обращения, претензии и запросы по персональным данным направляются оператору по адресу для корреспонденции. Укажите имя, способ ответа, суть обращения и номер заказа, если он есть. Не направляйте PIN, CVV, одноразовые коды или полный номер карты.</w:t>
      </w:r>
    </w:p>
    <w:p>
      <w:pPr>
        <w:widowControl/>
      </w:pPr>
      <w:r>
        <w:t xml:space="preserve">Электронная почта поддержки и юридических обращений: bagzon@gmail.com. Телефон поддержки не заявлен. Telegram-бот @zavezru_bot используется для входа и уведомлений; отправка сообщения боту сама по себе не подтверждает регистрацию претензии.</w:t>
      </w:r>
    </w:p>
    <w:p>
      <w:pPr>
        <w:pStyle w:val="Heading1"/>
      </w:pPr>
      <w:r>
        <w:t xml:space="preserve">3. Продавцы и расчёты</w:t>
      </w:r>
    </w:p>
    <w:p>
      <w:pPr>
        <w:widowControl/>
      </w:pPr>
      <w:r>
        <w:t xml:space="preserve">Продавец товара — ИП или организация, указанные в конкретном предложении и заказе. Реквизиты оператора не заменяют реквизиты продавца. Оплачивайте заказ только способом и получателю, указанным в заказе; эта страница не является инструкцией для перевода денег.</w:t>
      </w:r>
    </w:p>
    <w:p>
      <w:pPr>
        <w:widowControl/>
      </w:pPr>
      <w:r>
        <w:t xml:space="preserve">Для агентской деятельности оператор выбрал планируемую схему УСН «доходы» и интернет-эквайринг Т-Банка. Это намерение не подтверждает дату применения УСН, статус НДС, подключение банка или право принимать оплату за продавцов. До коммерческих расчётов эти сведения и банковские реквизиты проверяются и указываются в подписанных документах. Средства за чужой товар и собственное вознаграждение учитываются раздельно. Патент № 5032260000504 от 19 января 2026 года касается разработки ПО; он не заявляется основанием налогообложения агентской комиссии или торговли.</w:t>
      </w:r>
    </w:p>
    <w:p>
      <w:pPr>
        <w:pStyle w:val="Heading1"/>
      </w:pPr>
      <w:r>
        <w:t xml:space="preserve">4. Достоверность сведений</w:t>
      </w:r>
    </w:p>
    <w:p>
      <w:pPr>
        <w:widowControl/>
      </w:pPr>
      <w:r>
        <w:t xml:space="preserve">До покупки в предложении каждого продавца должны быть доступны его полное наименование либо ФИО ИП, регистрационные сведения, адрес, контакт для претензий и адрес возврата товара. Если оператор сам продаёт собственный товар или оказывает отдельную платную услугу, это прямо указывается в соответствующем предложении. Название «агент» не исключает обязанностей, возникающих из фактических действий оператора.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оператора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2026-10-08T15:50:58.549Z</dcterms:created>
  <dcterms:modified xsi:type="dcterms:W3CDTF">2026-10-08T15:50:58.549Z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