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Политика обработки персональных данных</w:t>
      </w:r>
    </w:p>
    <w:p>
      <w:r>
        <w:t xml:space="preserve">Цели обработки, основания, получатели и права человека.</w:t>
      </w:r>
    </w:p>
    <w:p>
      <w:pPr>
        <w:keepNext/>
      </w:pPr>
      <w:r>
        <w:t xml:space="preserve">Версия: 2026-10-05.1</w:t>
      </w:r>
    </w:p>
    <w:p>
      <w:pPr>
        <w:keepNext/>
      </w:pPr>
      <w:r>
        <w:t xml:space="preserve">Подготовлено: 5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Оператор и область действия</w:t>
      </w:r>
    </w:p>
    <w:p>
      <w:pPr>
        <w:widowControl/>
      </w:pPr>
      <w:r>
        <w:t xml:space="preserve">Индивидуальный предприниматель Дроздов Александр Иванович. ИНН 360703074690. ОГРНИП 325508100201788. Дата государственной регистрации: 11 апреля 2025 года. Регистрирующий орган: Межрайонная ИФНС России № 23 по Московской области. Адрес для корреспонденции: 142308, Россия, Московская область, муниципальный округ Чехов, село Шарапово, территория Чехов-8, улица Южная, дом 4, квартира 16. Электронная почта для поддержки, претензий и запросов по данным: bagzon@gmail.com. Сайт: https://zavez.ru.</w:t>
      </w:r>
    </w:p>
    <w:p>
      <w:pPr>
        <w:widowControl/>
      </w:pPr>
      <w:r>
        <w:t xml:space="preserve">Политика относится к данным посетителей, покупателей, получателей заказа и представителей партнёров в сервисе «Завез». Она информирует об обработке и сама по себе не является согласием. Подготовленная редакция должна быть сверена с фактическими обработчиками, размещением баз и сроками хранения до ввода в действие.</w:t>
      </w:r>
    </w:p>
    <w:p>
      <w:pPr>
        <w:pStyle w:val="Heading1"/>
      </w:pPr>
      <w:r>
        <w:t xml:space="preserve">2. Данные, цели и основания</w:t>
      </w:r>
    </w:p>
    <w:p>
      <w:pPr>
        <w:widowControl/>
      </w:pPr>
      <w:r>
        <w:t xml:space="preserve">Для входа и защиты аккаунта: телефон, идентификатор пользователя, сведения о сеансе и привязанный Telegram ID. Для исполнения покупки: имя и контакт получателя, адрес доставки, состав и история заказа, сообщения по исполнению, сведения о статусе оплаты и возврата. Основание — заключение и исполнение договора с субъектом либо договора, по которому он выгодоприобретатель, а также установленные законом обязанности.</w:t>
      </w:r>
    </w:p>
    <w:p>
      <w:pPr>
        <w:widowControl/>
      </w:pPr>
      <w:r>
        <w:t xml:space="preserve">Для подключения партнёра: ФИО представителя, рабочие контакты, полномочия и относящиеся к предпринимателю реквизиты. Для ответа на обращение: предоставленные заявителем сведения и переписка; основание определяется содержанием обращения и действующим договором, при необходимости оформляется отдельное согласие.</w:t>
      </w:r>
    </w:p>
    <w:p>
      <w:pPr>
        <w:widowControl/>
      </w:pPr>
      <w:r>
        <w:t xml:space="preserve">Для безопасности и работы сайта обрабатываются технические сведения о запросах, IP-адресе, браузере и сеансе; основание — исполнение договора и законные интересы при соблюдении прав субъекта. Данные платежей ограничены идентификаторами и результатом операций: PAN и CVV не принимаются платформой.</w:t>
      </w:r>
    </w:p>
    <w:p>
      <w:pPr>
        <w:pStyle w:val="Heading1"/>
      </w:pPr>
      <w:r>
        <w:t xml:space="preserve">3. Передача и действия</w:t>
      </w:r>
    </w:p>
    <w:p>
      <w:pPr>
        <w:widowControl/>
      </w:pPr>
      <w:r>
        <w:t xml:space="preserve">Обработка включает сбор, запись, систематизацию, хранение, уточнение, использование, передачу в необходимых пределах, блокирование, удаление и уничтожение автоматизированным и допустимым неавтоматизированным способом.</w:t>
      </w:r>
    </w:p>
    <w:p>
      <w:pPr>
        <w:widowControl/>
      </w:pPr>
      <w:r>
        <w:t xml:space="preserve">Продавец и исполнитель доставки получают только данные, необходимые для их части заказа, на соответствующем законном основании. Подрядчик, обрабатывающий данные по поручению, действует по договору с требованиями конфиденциальности и защиты. Банк, перевозчик и Telegram могут также выступать самостоятельными операторами в своей части; их статус нельзя подменять общей фразой «третьи лица».</w:t>
      </w:r>
    </w:p>
    <w:p>
      <w:pPr>
        <w:widowControl/>
      </w:pPr>
      <w:r>
        <w:t xml:space="preserve">До передачи персональных данных внешним ИИ, распознаванию речи, геокодеру или за границу устанавливаются конкретные получатели, страны, основания, уведомления и ограничения. Нынешний проект не разрешает такую передачу без этой проверки. Для подбора используйте обезличенные описания материалов, исключая персональные данные из текста, голоса и файлов.</w:t>
      </w:r>
    </w:p>
    <w:p>
      <w:pPr>
        <w:pStyle w:val="Heading1"/>
      </w:pPr>
      <w:r>
        <w:t xml:space="preserve">4. Сроки и защита</w:t>
      </w:r>
    </w:p>
    <w:p>
      <w:pPr>
        <w:widowControl/>
      </w:pPr>
      <w:r>
        <w:t xml:space="preserve">Данные хранятся до достижения конкретной цели либо окончания срока, установленного законом или действующим договором. После отпадения оснований они уничтожаются или обезличиваются в установленный законом срок. Отзыв согласия прекращает обработку на этом основании, но не отменяет отдельную обязанность хранить необходимые бухгалтерские, договорные или доказательственные сведения.</w:t>
      </w:r>
    </w:p>
    <w:p>
      <w:pPr>
        <w:widowControl/>
      </w:pPr>
      <w:r>
        <w:t xml:space="preserve">До запуска утверждается расписание хранения по категориям, включая резервные копии, сообщения, записи аудита и финансовые документы. Настоящий проект не заявляет уже установленного срока для всех данных. При сборе данных граждан РФ обеспечивается выполнение требований к использованию баз данных в РФ; фактическое размещение и трансграничные потоки проверяются оператором отдельно.</w:t>
      </w:r>
    </w:p>
    <w:p>
      <w:pPr>
        <w:widowControl/>
      </w:pPr>
      <w:r>
        <w:t xml:space="preserve">Меры включают разграничение доступа, проверку прав на сервере, защищённую передачу, учёт действий, управление секретами и порядок реагирования на инциденты. Уведомления Роскомнадзору и субъектам выполняются в предусмотренных законом случаях и сроках. Наличие этой политики не подтверждает подачу уведомления в реестр операторов.</w:t>
      </w:r>
    </w:p>
    <w:p>
      <w:pPr>
        <w:pStyle w:val="Heading1"/>
      </w:pPr>
      <w:r>
        <w:t xml:space="preserve">5. Права и обращения</w:t>
      </w:r>
    </w:p>
    <w:p>
      <w:pPr>
        <w:widowControl/>
      </w:pPr>
      <w:r>
        <w:t xml:space="preserve">Можно получить сведения об обработке, потребовать уточнения, блокирования или уничтожения при наличии оснований, отозвать согласие, обжаловать действия в Роскомнадзор или суд. Запрос направляется по адресу оператора; для идентификации запрашивается только необходимая по закону информация. Запрос рассматривается в сроки 152-ФЗ, включая применимое мотивированное продление. Политика не требует согласия на рекламу для покупки.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обработки персональных данных</dc:title>
  <dc:creator>Индивидуальный предприниматель Дроздов Александр Иванович</dc:creator>
  <dc:description>Проект документа «Завез», редакция 2026-10-05.1</dc:description>
  <cp:lastModifiedBy>Un-named</cp:lastModifiedBy>
  <cp:revision>1</cp:revision>
  <dcterms:created xsi:type="dcterms:W3CDTF">2026-10-08T17:11:03.825Z</dcterms:created>
  <dcterms:modified xsi:type="dcterms:W3CDTF">2026-10-08T17:11:03.825Z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