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Политика обработки персональных данных</w:t>
      </w:r>
    </w:p>
    <w:p>
      <w:r>
        <w:t xml:space="preserve">Цели обработки, основания, получатели и права человека.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Оператор и область действия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Политика относится к данным посетителей, покупателей, получателей заказа и представителей партнёров в сервисе «Завез». Она информирует об обработке и сама по себе не является согласием. Подготовленная редакция должна быть сверена с фактическими обработчиками, размещением баз и сроками хранения до ввода в действие. Обязанности по защите данных возникают с начала фактической обработки, включая тестирование и обращения, а не с первой коммерческой оплаты.</w:t>
      </w:r>
    </w:p>
    <w:p>
      <w:pPr>
        <w:pStyle w:val="Heading1"/>
      </w:pPr>
      <w:r>
        <w:t xml:space="preserve">2. Данные, цели и основания</w:t>
      </w:r>
    </w:p>
    <w:p>
      <w:pPr>
        <w:widowControl/>
      </w:pPr>
      <w:r>
        <w:t xml:space="preserve">Для входа и защиты аккаунта: телефон, идентификатор пользователя, сведения о сеансе и привязанный Telegram ID. Для исполнения покупки: имя и контакт получателя, адрес доставки, состав и история заказа, сообщения по исполнению, сведения о статусе оплаты и возврата. Основание — заключение и исполнение договора с субъектом либо договора, по которому он выгодоприобретатель, а также установленные законом обязанности.</w:t>
      </w:r>
    </w:p>
    <w:p>
      <w:pPr>
        <w:widowControl/>
      </w:pPr>
      <w:r>
        <w:t xml:space="preserve">Для подключения партнёра: ФИО представителя, рабочие контакты, полномочия и относящиеся к предпринимателю реквизиты. Для ответа на обращение: предоставленные заявителем сведения и переписка; основание определяется содержанием обращения и действующим договором, при необходимости оформляется отдельное согласие.</w:t>
      </w:r>
    </w:p>
    <w:p>
      <w:pPr>
        <w:widowControl/>
      </w:pPr>
      <w:r>
        <w:t xml:space="preserve">Для безопасности и работы сайта обрабатываются технические сведения о запросах, IP-адресе, браузере и сеансе; основание — исполнение договора и законные интересы при соблюдении прав субъекта. Данные платежей ограничены идентификаторами и результатом операций: PAN и CVV не принимаются платформой.</w:t>
      </w:r>
    </w:p>
    <w:p>
      <w:pPr>
        <w:pStyle w:val="Heading1"/>
      </w:pPr>
      <w:r>
        <w:t xml:space="preserve">3. Передача и действия</w:t>
      </w:r>
    </w:p>
    <w:p>
      <w:pPr>
        <w:widowControl/>
      </w:pPr>
      <w:r>
        <w:t xml:space="preserve">Обработка включает сбор, запись, систематизацию, хранение, уточнение, использование, передачу в необходимых пределах, блокирование, удаление и уничтожение автоматизированным и допустимым неавтоматизированным способом.</w:t>
      </w:r>
    </w:p>
    <w:p>
      <w:pPr>
        <w:widowControl/>
      </w:pPr>
      <w:r>
        <w:t xml:space="preserve">Продавец и исполнитель доставки получают только данные, необходимые для их части заказа, на соответствующем законном основании. Подрядчик, обрабатывающий данные по поручению, действует по договору с требованиями конфиденциальности и защиты. Банк, перевозчик и Telegram могут также выступать самостоятельными операторами в своей части; их статус нельзя подменять общей фразой «третьи лица».</w:t>
      </w:r>
    </w:p>
    <w:p>
      <w:pPr>
        <w:widowControl/>
      </w:pPr>
      <w:r>
        <w:t xml:space="preserve">До передачи персональных данных внешним ИИ, распознаванию речи, геокодеру или за границу устанавливаются конкретные получатели, страны, основания, уведомления и ограничения. Нынешний проект не разрешает такую передачу без этой проверки. Для подбора используйте обезличенные описания материалов, исключая персональные данные из текста, голоса и файлов.</w:t>
      </w:r>
    </w:p>
    <w:p>
      <w:pPr>
        <w:pStyle w:val="Heading1"/>
      </w:pPr>
      <w:r>
        <w:t xml:space="preserve">4. Сроки и защита</w:t>
      </w:r>
    </w:p>
    <w:p>
      <w:pPr>
        <w:widowControl/>
      </w:pPr>
      <w:r>
        <w:t xml:space="preserve">Данные хранятся до достижения конкретной цели либо окончания срока, установленного законом или действующим договором. После отпадения оснований они уничтожаются или обезличиваются в установленный законом срок. Отзыв согласия прекращает обработку на этом основании, но не отменяет отдельную обязанность хранить необходимые бухгалтерские, договорные или доказательственные сведения.</w:t>
      </w:r>
    </w:p>
    <w:p>
      <w:pPr>
        <w:widowControl/>
      </w:pPr>
      <w:r>
        <w:t xml:space="preserve">До использования этой редакции утверждается и раскрывается расписание хранения по категориям: учётная запись и сеансы, адреса, заказы и претензии, технические журналы, голосовые материалы, обращения, финансовые документы и резервные копии. Для каждой категории указываются цель, срок или определяющее его событие, основание продления и способ уничтожения. Документы налогового учёта хранятся в применимые сроки, в том числе не менее пяти лет по статье 23 НК РФ; это не основание хранить все пользовательские данные пять лет. Настоящий проект не заявляет уже установленного срока для всех данных. При сборе данных граждан РФ обеспечивается выполнение требований к использованию баз данных в РФ; фактическое размещение и трансграничные потоки проверяются оператором отдельно.</w:t>
      </w:r>
    </w:p>
    <w:p>
      <w:pPr>
        <w:widowControl/>
      </w:pPr>
      <w:r>
        <w:t xml:space="preserve">Меры включают разграничение доступа, проверку прав на сервере, защищённую передачу, учёт действий, управление секретами и порядок реагирования на инциденты. Уведомления Роскомнадзору и субъектам выполняются в предусмотренных законом случаях и сроках. Наличие этой политики не подтверждает подачу уведомления в реестр операторов.</w:t>
      </w:r>
    </w:p>
    <w:p>
      <w:pPr>
        <w:pStyle w:val="Heading1"/>
      </w:pPr>
      <w:r>
        <w:t xml:space="preserve">5. Права и обращения</w:t>
      </w:r>
    </w:p>
    <w:p>
      <w:pPr>
        <w:widowControl/>
      </w:pPr>
      <w:r>
        <w:t xml:space="preserve">Можно получить сведения об обработке, потребовать уточнения, блокирования или уничтожения при наличии оснований, отозвать согласие, обжаловать действия в Роскомнадзор или суд. Запрос направляется по адресу оператора; для идентификации запрашивается только необходимая по закону информация. Сведения об обработке по статье 14 закона 152-ФЗ предоставляются в течение десяти рабочих дней с даты обращения или получения запроса; срок может быть продлён не более чем на пять рабочих дней с мотивированным уведомлением. Для иных требований действуют соответствующие сроки статьи 21. При отзыве согласия, если нет другого законного основания, обработка прекращается и данные уничтожаются не позднее тридцати дней с даты получения отзыва, если законом или допустимым соглашением не предусмотрено иное. Политика не требует согласия на рекламу для покупки.</w:t>
      </w:r>
    </w:p>
    <w:p>
      <w:pPr>
        <w:pStyle w:val="Heading1"/>
      </w:pPr>
      <w:r>
        <w:t xml:space="preserve">6. Получатели и обязательные сведения перед применением</w:t>
      </w:r>
    </w:p>
    <w:p>
      <w:pPr>
        <w:widowControl/>
      </w:pPr>
      <w:r>
        <w:t xml:space="preserve">К этой политике до ввода в действие составляется доступный субъектам перечень фактических получателей и обработчиков: полное наименование, адрес, страна, функция, категории передаваемых данных, основание и срок обработки. Отдельно проверяются почтовый сервис, используемый для адреса bagzon@gmail.com, Telegram, банк и кассовый сервис, хостинг и резервные копии, сервисы геокодирования, распознавания речи и ИИ. Выбор Т-Банка как планируемого эквайера не подтверждает состав фактически подключённых услуг. Незаполненный перечень не является разрешением на передачу.</w:t>
      </w:r>
    </w:p>
    <w:p>
      <w:pPr>
        <w:widowControl/>
      </w:pPr>
      <w:r>
        <w:t xml:space="preserve">До соответствующей передачи оператор проверяет локализацию по части 5 статьи 18 закона 152-ФЗ, допустимость трансграничной передачи и необходимость отдельного уведомления Роскомнадзора по статье 12. Общее согласие пользователя не заменяет эти обязанности. Для необязательных голосовых и ИИ-функций заранее раскрываются получатели, цель, срок и основание; голос признаётся биометрическими данными, если используется для установления личности, а не автоматически при любом распознавании речи.</w:t>
      </w:r>
    </w:p>
    <w:p>
      <w:pPr>
        <w:widowControl/>
      </w:pPr>
      <w:r>
        <w:t xml:space="preserve">При инциденте, предусмотренном частью 3.1 статьи 21 закона 152-ФЗ, оператор уведомляет Роскомнадзор в течение 24 часов об инциденте и в течение 72 часов о результатах внутреннего расследования с момента выявления. Поручение подрядчику не освобождает оператора от ответственности перед субъектом. Уточнение конкретных мер, получателей и сроков должно соответствовать реально введённым процедурам, а не только тексту проекта.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2026-10-08T15:59:12.115Z</dcterms:created>
  <dcterms:modified xsi:type="dcterms:W3CDTF">2026-10-08T15:59:12.115Z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