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Поручение на обработку персональных данных</w:t>
      </w:r>
    </w:p>
    <w:p>
      <w:r>
        <w:t xml:space="preserve">Приложение для подрядчика по части 3 статьи 6 закона 152-ФЗ.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предмет</w:t>
      </w:r>
    </w:p>
    <w:p>
      <w:pPr>
        <w:widowControl/>
      </w:pPr>
      <w:r>
        <w:t xml:space="preserve">Оператор: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Обработчик: [полные реквизиты ИП/ООО, адрес, уполномоченный представитель]. Основной договор, номер и дата [заполнить]. Обработчик совершает только перечисленные действия по поручению; самостоятельные цели не допускаются. Если продавец или перевозчик определяет собственные законные цели, его самостоятельная роль описывается отдельно.</w:t>
      </w:r>
    </w:p>
    <w:p>
      <w:pPr>
        <w:pStyle w:val="Heading1"/>
      </w:pPr>
      <w:r>
        <w:t xml:space="preserve">2. Обязательное приложение</w:t>
      </w:r>
    </w:p>
    <w:p>
      <w:pPr>
        <w:widowControl/>
      </w:pPr>
      <w:r>
        <w:t xml:space="preserve">Цели [точно указать]. Субъекты [покупатели/получатели/представители — выбрать]. Категории данных [исчерпывающий перечень]. Операции [исчерпывающий перечень]. Системы, адреса размещения баз и страны [заполнить]. Срок обработки и порядок возврата/уничтожения [заполнить]. Субобработчики, их реквизиты и разрешённые функции [перечень либо отсутствуют].</w:t>
      </w:r>
    </w:p>
    <w:p>
      <w:pPr>
        <w:widowControl/>
      </w:pPr>
      <w:r>
        <w:t xml:space="preserve">До заполнения приложения передача данных по этому поручению не допускается. Согласие либо иное основание передачи обеспечивает оператор; поручение не создаёт его автоматически и не разрешает трансграничную передачу.</w:t>
      </w:r>
    </w:p>
    <w:p>
      <w:pPr>
        <w:pStyle w:val="Heading1"/>
      </w:pPr>
      <w:r>
        <w:t xml:space="preserve">3. Обязанности обработчика</w:t>
      </w:r>
    </w:p>
    <w:p>
      <w:pPr>
        <w:widowControl/>
      </w:pPr>
      <w:r>
        <w:t xml:space="preserve">Обработчик соблюдает конфиденциальность, принципы и требования 152-ФЗ, обеспечивает необходимые правовые, организационные и технические меры по статьям 18.1 и 19, включая разграничение доступа, защищённую передачу, учёт действий и защиту носителей. Соблюдает требования локализации, если они применимы к действиям. До обработки по запросу предоставляет документы и сведения, подтверждающие выполнение обязанностей.</w:t>
      </w:r>
    </w:p>
    <w:p>
      <w:pPr>
        <w:widowControl/>
      </w:pPr>
      <w:r>
        <w:t xml:space="preserve">Использование для обучения моделей, рекламы или собственной базы запрещено. Передача субобработчику допускается только с предварительным письменным разрешением и равноценными требованиями. Обработчик содействует ответу субъекту, блокированию, уточнению и уничтожению данных.</w:t>
      </w:r>
    </w:p>
    <w:p>
      <w:pPr>
        <w:pStyle w:val="Heading1"/>
      </w:pPr>
      <w:r>
        <w:t xml:space="preserve">4. Инциденты и завершение</w:t>
      </w:r>
    </w:p>
    <w:p>
      <w:pPr>
        <w:widowControl/>
      </w:pPr>
      <w:r>
        <w:t xml:space="preserve">О неправомерной или случайной передаче, доступе, утрате и другом инциденте уведомляет оператора без промедления; договорный предел первичного сообщения — 6 часов с обнаружения. Передаёт известные категории, объём, причины, затронутые системы, последствия и меры, затем результаты расследования. Это обеспечивает оператору возможность выполнить законные уведомления, а не заменяет их.</w:t>
      </w:r>
    </w:p>
    <w:p>
      <w:pPr>
        <w:widowControl/>
      </w:pPr>
      <w:r>
        <w:t xml:space="preserve">После прекращения поручения возвращает либо уничтожает данные и допустимые копии в согласованный срок с подтверждением, кроме законных обязанностей самостоятельного хранения. Архив/backup обрабатывается по установленному порядку удаления и исключается из обычного использования. Защита и конфиденциальность сохраняются до уничтожения.</w:t>
      </w:r>
    </w:p>
    <w:p>
      <w:pPr>
        <w:widowControl/>
      </w:pPr>
      <w:r>
        <w:t xml:space="preserve">Ответственность определяется законом и основным договором; субъект сохраняет требования к оператору. Подписи, ответственное лицо, канал срочных уведомлений и заполненное приложение [заполнить].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обработку персональных данных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2026-10-08T17:00:15.839Z</dcterms:created>
  <dcterms:modified xsi:type="dcterms:W3CDTF">2026-10-08T17:00:15.839Z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