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Агентский договор с продавцом ИП или ООО</w:t>
      </w:r>
    </w:p>
    <w:p>
      <w:r>
        <w:t xml:space="preserve">Оператор как агент; продавец, полномочия, отчёт, расчёты и споры.</w:t>
      </w:r>
    </w:p>
    <w:p>
      <w:pPr>
        <w:keepNext/>
      </w:pPr>
      <w:r>
        <w:t xml:space="preserve">Версия: 2026-10-06.1</w:t>
      </w:r>
    </w:p>
    <w:p>
      <w:pPr>
        <w:keepNext/>
      </w:pPr>
      <w:r>
        <w:t xml:space="preserve">Подготовлено: 6 октября 2026 года</w:t>
      </w:r>
    </w:p>
    <w:p>
      <w:r>
        <w:t xml:space="preserve">Статус: проект, не вступил в силу. Дата действия не назначена.</w:t>
      </w:r>
    </w:p>
    <w:p>
      <w:pPr>
        <w:pStyle w:val="Heading1"/>
      </w:pPr>
      <w:r>
        <w:t xml:space="preserve">1. Стороны и заключение</w:t>
      </w:r>
    </w:p>
    <w:p>
      <w:pPr>
        <w:widowControl/>
      </w:pPr>
      <w:r>
        <w:t xml:space="preserve">Индивидуальный предприниматель Дроздов Александр Иванович, ИНН 360703074690, ОГРНИП 325508100201788, далее «Агент», и продавец, указанный в подписанном заявлении о присоединении, далее «Продавец», заключают настоящий договор. Для Продавца-ИП указываются ФИО, ИНН и ОГРНИП; для ООО — полное наименование, ИНН, КПП, ОГРН, адрес и представитель с основанием полномочий. Данные Агента: Индивидуальный предприниматель Дроздов Александр Иванович. ИНН 360703074690. ОГРНИП 325508100201788. Дата государственной регистрации: 11 апреля 2025 года. Регистрирующий орган: Межрайонная ИФНС России № 23 по Московской области. Адрес для корреспонденции: 142308, Россия, Московская область, муниципальный округ Чехов, село Шарапово, территория Чехов-8, улица Южная, дом 4, квартира 16. Электронная почта для поддержки, претензий и запросов по данным: bagzon@gmail.com. Сайт: https://zavez.ru.</w:t>
      </w:r>
    </w:p>
    <w:p>
      <w:pPr>
        <w:widowControl/>
      </w:pPr>
      <w:r>
        <w:t xml:space="preserve">Проект становится договором только после заполнения и подписания заявления, коммерческого приложения и необходимых поручений. Просмотр проекта, загрузка каталога и создание аккаунта не являются акцептом. Дата и номер договора устанавливаются в заявлении. До внедрения проверяемого электронного подписания применяется бумажная подпись или согласованный ЭДО с электронной подписью.</w:t>
      </w:r>
    </w:p>
    <w:p>
      <w:pPr>
        <w:pStyle w:val="Heading1"/>
      </w:pPr>
      <w:r>
        <w:t xml:space="preserve">2. Поручение и полномочия</w:t>
      </w:r>
    </w:p>
    <w:p>
      <w:pPr>
        <w:widowControl/>
      </w:pPr>
      <w:r>
        <w:t xml:space="preserve">Агент за вознаграждение действует от имени и за счёт Продавца: размещает предложения, передаёт и сопровождает заказы, согласовывает условия в пределах опубликованного предложения, обеспечивает обмен сообщениями и учёт расчётов. Права и обязанности по продаже товара возникают непосредственно у Продавца. Право собственности на товар к Агенту не переходит.</w:t>
      </w:r>
    </w:p>
    <w:p>
      <w:pPr>
        <w:widowControl/>
      </w:pPr>
      <w:r>
        <w:t xml:space="preserve">Приём оплаты, поручение банку, выплата выручки и организация доставки входят в поручение только при явно согласованной в приложении схеме, наличии полномочий, банковского договора и обязательного кассового обеспечения. До такого согласования деньги за товар принимает Продавец. Субагент и отдельный перевозчик привлекаются в пределах согласованных полномочий; Агент отвечает за собственные нарушения и за привлечённых им лиц в предусмотренных законом пределах.</w:t>
      </w:r>
    </w:p>
    <w:p>
      <w:pPr>
        <w:widowControl/>
      </w:pPr>
      <w:r>
        <w:t xml:space="preserve">Доверенность выдаётся, если она требуется для конкретных юридических действий. Агент не вправе продавать от собственного имени по этому договору, менять собственника товара, брать кредит за Продавца или распоряжаться его счётом без отдельного законного полномочия.</w:t>
      </w:r>
    </w:p>
    <w:p>
      <w:pPr>
        <w:pStyle w:val="Heading1"/>
      </w:pPr>
      <w:r>
        <w:t xml:space="preserve">3. Требования к Продавцу и товару</w:t>
      </w:r>
    </w:p>
    <w:p>
      <w:pPr>
        <w:widowControl/>
      </w:pPr>
      <w:r>
        <w:t xml:space="preserve">Продавец подтверждает статус и полномочия по ЕГРИП/ЕГРЮЛ, законность происхождения товара и право продажи, предоставляет сведения изготовителя, безопасности, сертификаты и маркировку, когда они обязательны. Сообщает актуальные реквизиты, контакты, точки, остатки, единицы, цену, налоговые и кассовые сведения. Изменения статуса и полномочий сообщает без промедления.</w:t>
      </w:r>
    </w:p>
    <w:p>
      <w:pPr>
        <w:widowControl/>
      </w:pPr>
      <w:r>
        <w:t xml:space="preserve">Продавец отвечает за достоверность своих объявлений и качество товара, подтверждает исполнимый заказ, готовит груз, выдаёт обязательные документы, рассматривает требования покупателя. Договор не переносит на него ответственность за недостоверные сведения, внесённые самим Агентом, либо нарушение Агента.</w:t>
      </w:r>
    </w:p>
    <w:p>
      <w:pPr>
        <w:widowControl/>
      </w:pPr>
      <w:r>
        <w:t xml:space="preserve">Цена меняется Продавцом для будущих заказов после сохранения действующей версии предложения. Заключённый с покупателем договор сохраняет условия независимо от внутреннего статуса подтверждения заказа; новая цена не применяется к нему без согласия покупателя. Скидка за счёт Продавца требует его предварительного конкретного согласия с размером, сроком и условиями; скидка за счёт Агента не уменьшает согласованную выручку Продавца без основания.</w:t>
      </w:r>
    </w:p>
    <w:p>
      <w:pPr>
        <w:pStyle w:val="Heading1"/>
      </w:pPr>
      <w:r>
        <w:t xml:space="preserve">4. Вознаграждение и взаиморасчёты</w:t>
      </w:r>
    </w:p>
    <w:p>
      <w:pPr>
        <w:widowControl/>
      </w:pPr>
      <w:r>
        <w:t xml:space="preserve">Ставка, база, минимальная сумма, НДС, плата за дополнительные услуги, платёжная схема, сроки отчёта и выплаты заполняются в коммерческом приложении. До подписания заполненного приложения платное исполнение не начинается. Демонстрационный тариф интерфейса не заменяет согласованную ставку.</w:t>
      </w:r>
    </w:p>
    <w:p>
      <w:pPr>
        <w:widowControl/>
      </w:pPr>
      <w:r>
        <w:t xml:space="preserve">Для оплаты прямо Продавцу комиссия образует его задолженность Агенту и оплачивается отдельным счётом. Удержание из чужой выручки допускается только при подписанном поручении, предусмотренной банковской схеме и прозрачном расчёте. Суммы, полученные за товар Продавца, не являются собственным вознаграждением Агента. Они учитываются по Продавцу и заказу отдельно от собственных доходов; расходование на нужды Агента, кроме согласованных удержаний, не допускается. Налоговая квалификация определяется реальным исполнением и документами, а не одним названием договора. Холд карты не считается полученной выручкой; начисление не считается выплатой.</w:t>
      </w:r>
    </w:p>
    <w:p>
      <w:pPr>
        <w:widowControl/>
      </w:pPr>
      <w:r>
        <w:t xml:space="preserve">Основание комиссии, уменьшение при отмене/возврате, возможные фактические расходы, окно после закрытия заказа и предельный срок выплаты фиксируются в приложении. Неоспариваемая часть перечисляется в согласованный срок; удержание спорной части имеет конкретное основание, сумму и срок рассмотрения. Неопределённый исход банка сначала сверяется, без создания второго платежа. Бесконечное удержание всей выручки по усмотрению Агента не допускается.</w:t>
      </w:r>
    </w:p>
    <w:p>
      <w:pPr>
        <w:pStyle w:val="Heading1"/>
      </w:pPr>
      <w:r>
        <w:t xml:space="preserve">5. Отчёт и документы</w:t>
      </w:r>
    </w:p>
    <w:p>
      <w:pPr>
        <w:widowControl/>
      </w:pPr>
      <w:r>
        <w:t xml:space="preserve">Агент передаёт отчёт с периодом, заказами и ревизиями, поступлениями, возвратами, комиссией, расходами, выплатами и остатком обязательства. К нему прилагаются доступные доказательства расходов и операций. По умолчанию мотивированные возражения представляются в течение 30 дней после получения отчёта, если подписанное приложение не устанавливает иной срок согласно статье 1008 ГК РФ.</w:t>
      </w:r>
    </w:p>
    <w:p>
      <w:pPr>
        <w:widowControl/>
      </w:pPr>
      <w:r>
        <w:t xml:space="preserve">Отсутствие возражений означает принятие отчёта в пределах закона, но не доказательство несуществующего банковского перевода и не отказ от требований по скрытой ошибке. Акт услуг и документы о передаче товара не заменяют отчёт агента. Продавец получает копию своей действующей редакции и архив редакций.</w:t>
      </w:r>
    </w:p>
    <w:p>
      <w:pPr>
        <w:pStyle w:val="Heading1"/>
      </w:pPr>
      <w:r>
        <w:t xml:space="preserve">6. Подготовка, доставка и возврат</w:t>
      </w:r>
    </w:p>
    <w:p>
      <w:pPr>
        <w:widowControl/>
      </w:pPr>
      <w:r>
        <w:t xml:space="preserve">Исполнитель, место, сроки, упаковка, передача, риск утраты и стоимость определяются заданием и соответствующим приложением. При передаче фиксируются стороны, состав, количество, состояние, время и расхождения. До отдельного договора Агент не заявляется складским хранителем или перевозчиком.</w:t>
      </w:r>
    </w:p>
    <w:p>
      <w:pPr>
        <w:widowControl/>
      </w:pPr>
      <w:r>
        <w:t xml:space="preserve">Заявления покупателя направляются ответственному продавцу, при необходимости с участием Агента. Возврат товара, право на деньги и исполнение банковского возврата различаются. Недостатки и отказ потребителя рассматриваются по обязательным нормам; Продавец не вправе сужать эти права своим приложением. Стороны согласуют фактические действия без отказа в требовании из-за отсутствия кнопки в кабинете.</w:t>
      </w:r>
    </w:p>
    <w:p>
      <w:pPr>
        <w:pStyle w:val="Heading1"/>
      </w:pPr>
      <w:r>
        <w:t xml:space="preserve">7. Данные и сообщения</w:t>
      </w:r>
    </w:p>
    <w:p>
      <w:pPr>
        <w:widowControl/>
      </w:pPr>
      <w:r>
        <w:t xml:space="preserve">Стороны обрабатывают данные только для законных целей своих функций. Для обработки по поручению подписывается отдельное поручение с целями, категориями, действиями и мерами защиты. Полные номера карт, CVV и коды входа не передаются. Работники получают минимально необходимый доступ.</w:t>
      </w:r>
    </w:p>
    <w:p>
      <w:pPr>
        <w:widowControl/>
      </w:pPr>
      <w:r>
        <w:t xml:space="preserve">Юридически значимые сообщения направляются на подтверждённые адреса и через согласованный ЭДО. Контакты, полномочия отправителя, способ подтверждения доставки и смены контакта фиксируются в заявлении. Уведомление Telegram о событии не заменяет договорную доставку документа. Правила простой электронной подписи требуют отдельного подписанного соглашения об идентификации, ключе и его конфиденциальности; аккаунт не объявляется подписью автоматически.</w:t>
      </w:r>
    </w:p>
    <w:p>
      <w:pPr>
        <w:pStyle w:val="Heading1"/>
      </w:pPr>
      <w:r>
        <w:t xml:space="preserve">8. Доступ, ответственность и жалобы</w:t>
      </w:r>
    </w:p>
    <w:p>
      <w:pPr>
        <w:widowControl/>
      </w:pPr>
      <w:r>
        <w:t xml:space="preserve">Перечень договорных мер: исправление недостоверной карточки, приостановление конкретного предложения при незаконности товара или неисполнимости условий, ограничение скомпрометированного доступа и прекращение новых заказов при существенном нарушении договора. Денежные штрафы по этому проекту не устанавливаются. Убытки возмещаются по закону при наличии предусмотренных оснований; санкции не удерживаются произвольно из выручки.</w:t>
      </w:r>
    </w:p>
    <w:p>
      <w:pPr>
        <w:widowControl/>
      </w:pPr>
      <w:r>
        <w:t xml:space="preserve">Перед ограничением направляются причины, затронутые объекты, доказательства и порядок обжалования; срочное ограничение допустимо в предусмотренных законом случаях с последующим уведомлением. Информация о действующих заказах, расчётах и договорах сохраняет доступность в допустимых пределах.</w:t>
      </w:r>
    </w:p>
    <w:p>
      <w:pPr>
        <w:widowControl/>
      </w:pPr>
      <w:r>
        <w:t xml:space="preserve">Жалоба подаётся по согласованному электронному каналу с номером решения, доводами и доказательствами; Агент даёт мотивированный ответ не позднее 15 календарных дней со дня поступления. Если применимый закон требует короче — применяется его срок. При признании жалобы на ограничение обоснованной меры отменяются в течение 48 часов, если обязательные правила не предусматривают иное. Технический электронный канал и подтверждение регистрации жалобы должны быть готовы до коммерческого подключения. Судебная защита сохраняется; спор ИП/ООО рассматривается по законным правилам подсудности без заранее выбранного потребительского суда.</w:t>
      </w:r>
    </w:p>
    <w:p>
      <w:pPr>
        <w:pStyle w:val="Heading1"/>
      </w:pPr>
      <w:r>
        <w:t xml:space="preserve">9. Поиск, изменения и прекращение</w:t>
      </w:r>
    </w:p>
    <w:p>
      <w:pPr>
        <w:widowControl/>
      </w:pPr>
      <w:r>
        <w:t xml:space="preserve">Основные факторы выдачи — соответствие запросу и характеристикам, доступность предложения в выбранной области и применимые фильтры. ИИ создаёт подбор, а бизнес-правила проверяют возможность покупки. Коммерческое продвижение и рейтинг с санкциями этим проектом не вводятся; их условия должны быть опубликованы и согласованы отдельно до применения. Технические правила выдачи доступны в описании сервиса и сообщаются Продавцу при изменении.</w:t>
      </w:r>
    </w:p>
    <w:p>
      <w:pPr>
        <w:widowControl/>
      </w:pPr>
      <w:r>
        <w:t xml:space="preserve">Изменения комиссии, ответственности, платных услуг и порядка расчётов требуют соглашения сторон и действуют только на будущее. Предложение об изменении комиссии, ответственности или логистики направляется не менее чем за 45 календарных дней, остальных условий — за 15 календарных дней, если обязательные нормы не требуют иного. Молчание не признаётся согласием на новый тариф. Обязательные правила 289-ФЗ применяются при наличии установленных законом условий; подписание этого проекта не подтверждает включение сервиса в реестр платформ. Архив включает каждую согласованную редакцию, приложения, полномочия, подписи, доказательства получения сообщений, отчёты и расчётные документы. Срок определяется применимыми обязанностями хранения, включая не менее пяти лет для документов налогового учёта; при незавершённом споре относящиеся к нему материалы не уничтожаются до отпадения законных оснований хранения.</w:t>
      </w:r>
    </w:p>
    <w:p>
      <w:pPr>
        <w:widowControl/>
      </w:pPr>
      <w:r>
        <w:t xml:space="preserve">Договор действует на неопределённый срок, если в заявлении не установлено иное. Сторона вправе отказаться от него с уведомлением за 30 дней, соблюдая обязательные правила и расчёты по уже возникшим обязательствам. Прекращение новых заказов не отменяет возвратов, отчётов, выплат, конфиденциальности и требований покупателей.</w:t>
      </w:r>
    </w:p>
    <w:p>
      <w:pPr>
        <w:pStyle w:val="Heading1"/>
      </w:pPr>
      <w:r>
        <w:t xml:space="preserve">10. Заверения и ответственность сторон</w:t>
      </w:r>
    </w:p>
    <w:p>
      <w:pPr>
        <w:widowControl/>
      </w:pPr>
      <w:r>
        <w:t xml:space="preserve">Продавец предоставляет Агенту существенные заверения по статье 431.2 ГК РФ: обладает действующим статусом и полномочиями; вправе продавать товар и использовать карточки, фотографии и обозначения; товар законного происхождения, не обременён препятствующими продаже правами, соответствует обязательным требованиям, маркировке и заявленным свойствам; документы о налоговом статусе, безопасности и соответствии достоверны. Агент полагается на эти заверения при подключении и исполнении заказов. Продавец без промедления сообщает об их изменении и по запросу представляет подтверждения. Агент аналогично заверяет наличие своих полномочий и достоверность предоставленных им реквизитов.</w:t>
      </w:r>
    </w:p>
    <w:p>
      <w:pPr>
        <w:widowControl/>
      </w:pPr>
      <w:r>
        <w:t xml:space="preserve">Сторона, нарушившая договор или предоставившая недостоверные заверения, возмещает другой стороне документально подтверждённые убытки при наличии законных оснований, причинной связи и с учётом вины в применимых случаях. При нарушении Продавца это может включать выплаченные покупателям законные суммы, необходимые расходы на возврат и хранение, обоснованные судебные расходы. Возврат полученных за Продавца денег учитывается при расчёте его задолженности отдельно от убытков; двойное взыскание одной суммы не допускается. Ответственность за собственное нарушение Агента на Продавца не переносится, публично-правовые штрафы автоматически не возмещаются.</w:t>
      </w:r>
    </w:p>
    <w:p>
      <w:pPr>
        <w:widowControl/>
      </w:pPr>
      <w:r>
        <w:t xml:space="preserve">Получив претензию или иск, сторона без неоправданной задержки передаёт другой стороне относящиеся к ней материалы и возможность участвовать в защите. Признание требования или соглашение за счёт другой стороны предварительно согласуется, кроме исполнения обязательной обязанности в установленный законом срок и необходимых срочных мер по уменьшению убытков. Их основание и размер подтверждаются документами. Требование о возмещении рассматривается в течение десяти рабочих дней с получения достаточных материалов; мотивированные возражения касаются конкретных сумм и не задерживают выплату неоспариваемой части.</w:t>
      </w:r>
    </w:p>
    <w:p>
      <w:pPr>
        <w:widowControl/>
      </w:pPr>
      <w:r>
        <w:t xml:space="preserve">Договорный предел ответственности Агента может быть согласован только отдельным подписанным условием с точной суммой и областью применения. Если поле не заполнено, специального предела нет. Такой предел не распространяется на умышленное нарушение, возврат и перечисление чужих денег, обязательные права потребителей и иные случаи, когда ограничение запрещено законом. Возмещение потерь по статье 406.1 ГК РФ, не связанных с нарушением, требует отдельного письменного соглашения с конкретными обстоятельствами и размером или способом его определения; настоящая оговорка такого обязательства сама по себе не создаёт.</w:t>
      </w:r>
    </w:p>
    <w:p>
      <w:pPr>
        <w:pStyle w:val="Heading1"/>
      </w:pPr>
      <w:r>
        <w:t xml:space="preserve">11. Возврат после выплаты и банковские споры</w:t>
      </w:r>
    </w:p>
    <w:p>
      <w:pPr>
        <w:widowControl/>
      </w:pPr>
      <w:r>
        <w:t xml:space="preserve">Если выручка уже перечислена Продавцу, он возвращает сумму, необходимую для законного возврата покупателю за его товар, в течение пяти рабочих дней с получения требования Агента и подтверждающих документов, если подписанным приложением не согласован более короткий срок. Агент одновременно исполняет собственные обязательные обязанности в срок, независимо от возмещения Продавцом. При более позднем удовлетворении требования уменьшается соответствующая задолженность; повторное взыскание исключается. Отмена и перерасчёт комиссии производятся по подписанным коммерческим условиям.</w:t>
      </w:r>
    </w:p>
    <w:p>
      <w:pPr>
        <w:widowControl/>
      </w:pPr>
      <w:r>
        <w:t xml:space="preserve">При банковском оспаривании платежа стороны сохраняют доказательства заказа, доставки и расчёта, обмениваются ими в срок, позволяющий ответить банку, и фиксируют окончательный результат. Сообщение банка об оспаривании само по себе не доказывает нарушение Продавца; расходы распределяются по согласованной схеме, фактическим обстоятельствам и закону. Зачёт встречного денежного требования оформляется с указанием основания, суммы и уведомлением другой стороны при наличии условий закона и договора. Обеспечительный резерв допускается лишь по отдельному подписанному приложению с основанием, формулой, пределом, сроком и порядком освобождения; без него резерв не создаётся.</w:t>
      </w:r>
    </w:p>
    <w:p>
      <w:pPr>
        <w:pStyle w:val="Heading1"/>
      </w:pPr>
      <w:r>
        <w:t xml:space="preserve">12. Подписи</w:t>
      </w:r>
    </w:p>
    <w:p>
      <w:pPr>
        <w:widowControl/>
      </w:pPr>
      <w:r>
        <w:t xml:space="preserve">Агент: Дроздов Александр Иванович, подпись [заполнить], дата [заполнить]. Продавец: [полные реквизиты ИП или ООО], представитель [заполнить], полномочия [заполнить], подпись [заполнить], дата [заполнить]. Заявление и коммерческое приложение являются неотъемлемыми частями договора.</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sz w:val="20"/>
        <w:szCs w:val="20"/>
      </w:rPr>
      <w:t xml:space="preserve">Завез  Проект документа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lang w:val="ru-RU"/>
      </w:rPr>
    </w:rPrDefault>
    <w:pPrDefault>
      <w:pPr>
        <w:spacing w:after="120" w:line="276"/>
      </w:pPr>
    </w:pPrDefault>
  </w:docDefaults>
  <w:style w:type="paragraph" w:styleId="Normal" w:default="1">
    <w:name w:val="Normal"/>
    <w:qFormat/>
  </w:style>
  <w:style w:type="paragraph" w:styleId="Title">
    <w:name w:val="Title"/>
    <w:basedOn w:val="Normal"/>
    <w:next w:val="Normal"/>
    <w:qFormat/>
    <w:pPr>
      <w:keepNext/>
      <w:spacing w:after="200"/>
    </w:pPr>
    <w:rPr>
      <w:rFonts w:ascii="Times New Roman" w:cs="Times New Roman" w:eastAsia="Times New Roman" w:hAnsi="Times New Roman"/>
      <w:b/>
      <w:bCs/>
      <w:color w:val="000000"/>
      <w:sz w:val="36"/>
      <w:szCs w:val="36"/>
    </w:rPr>
  </w:style>
  <w:style w:type="paragraph" w:styleId="Heading1">
    <w:name w:val="Heading 1"/>
    <w:basedOn w:val="Normal"/>
    <w:next w:val="Normal"/>
    <w:qFormat/>
    <w:pPr>
      <w:keepNext/>
      <w:spacing w:after="120" w:before="240"/>
    </w:pPr>
    <w:rPr>
      <w:rFonts w:ascii="Times New Roman" w:cs="Times New Roman" w:eastAsia="Times New Roman" w:hAnsi="Times New Roman"/>
      <w:b/>
      <w:bCs/>
      <w:color w:val="000000"/>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с продавцом ИП или ООО</dc:title>
  <dc:creator>Индивидуальный предприниматель Дроздов Александр Иванович</dc:creator>
  <dc:description>Проект документа «Завез», редакция 2026-10-06.1</dc:description>
  <cp:lastModifiedBy>Un-named</cp:lastModifiedBy>
  <cp:revision>1</cp:revision>
  <dcterms:created xsi:type="dcterms:W3CDTF">2026-10-08T15:54:06.098Z</dcterms:created>
  <dcterms:modified xsi:type="dcterms:W3CDTF">2026-10-08T15:54:06.098Z</dcterms:modified>
</cp:coreProperties>
</file>

<file path=docProps/custom.xml><?xml version="1.0" encoding="utf-8"?>
<Properties xmlns="http://schemas.openxmlformats.org/officeDocument/2006/custom-properties" xmlns:vt="http://schemas.openxmlformats.org/officeDocument/2006/docPropsVTypes"/>
</file>