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Заявление продавца и коммерческое приложение</w:t>
      </w:r>
    </w:p>
    <w:p>
      <w:r>
        <w:t xml:space="preserve">Формы для ИП/ООО, ставки, банковские реквизиты и полномочия.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Заявление о присоединении</w:t>
      </w:r>
    </w:p>
    <w:p>
      <w:pPr>
        <w:widowControl/>
      </w:pPr>
      <w:r>
        <w:t xml:space="preserve">Агент: 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Договор: агентский договор «Завез», редакция [версия], номер [заполнить], дата [заполнить]. Продавец выбирает форму: ИП либо ООО. Для ИП: ФИО [заполнить], ИНН [заполнить], ОГРНИП [заполнить], адрес корреспонденции [заполнить]. Для ООО: полное наименование [заполнить], ИНН [заполнить], КПП [заполнить], ОГРН [заполнить], юридический и почтовый адреса [заполнить], руководитель/представитель [заполнить], основание полномочий [устав/доверенность с реквизитами].</w:t>
      </w:r>
    </w:p>
    <w:p>
      <w:pPr>
        <w:widowControl/>
      </w:pPr>
      <w:r>
        <w:t xml:space="preserve">Рынки и точки [перечень]. Ответственные и разрешённые роли [перечень]. Электронная почта юридических сообщений [заполнить]. ЭДО и идентификатор [заполнить]. Порядок подтверждения доставки [заполнить]. Подтверждение актуальной выписки, полномочий и прав на товар [документы].</w:t>
      </w:r>
    </w:p>
    <w:p>
      <w:pPr>
        <w:pStyle w:val="Heading1"/>
      </w:pPr>
      <w:r>
        <w:t xml:space="preserve">2. Коммерческие условия</w:t>
      </w:r>
    </w:p>
    <w:p>
      <w:pPr>
        <w:widowControl/>
      </w:pPr>
      <w:r>
        <w:t xml:space="preserve">Дата начала [заполнить]. Комиссия [ставка/фиксированная сумма], база [товарная выручка либо иной точно определённый состав], минимум [сумма либо отсутствует]. Что начисляется при полном/частичном возврате [заполнить]. Дополнительные услуги и цена каждой [заполнить либо отсутствуют]. НДС Агента и Продавца [подтвердить], применяемый режим [подтвердить].</w:t>
      </w:r>
    </w:p>
    <w:p>
      <w:pPr>
        <w:widowControl/>
      </w:pPr>
      <w:r>
        <w:t xml:space="preserve">Схема оплаты [прямо Продавцу / согласованный банк]. Полномочие Агента принимать деньги [есть/нет, конкретные пределы]. Кто применяет ККТ, какие чеки и агентские реквизиты [согласовать с банком и кассовым провайдером]. Комиссия банка и её плательщик [заполнить]. Платёжный провайдер и исходное подключение [заполнить].</w:t>
      </w:r>
    </w:p>
    <w:p>
      <w:pPr>
        <w:widowControl/>
      </w:pPr>
      <w:r>
        <w:t xml:space="preserve">Отчётный период [заполнить], срок передачи отчёта [заполнить], срок возражений [30 дней либо иной согласованный]. Основание и срок оплаты комиссии при прямом платеже продавцу [заполнить]. Основание разрешения выплаты после закрытия заказа [заполнить], предельный срок выплаты [число рабочих дней], сроки сверки и разбора спорной части [заполнить]. Не заполненные условия не заменяются демонстрационными настройками.</w:t>
      </w:r>
    </w:p>
    <w:p>
      <w:pPr>
        <w:pStyle w:val="Heading1"/>
      </w:pPr>
      <w:r>
        <w:t xml:space="preserve">3. Банковские реквизиты</w:t>
      </w:r>
    </w:p>
    <w:p>
      <w:pPr>
        <w:widowControl/>
      </w:pPr>
      <w:r>
        <w:t xml:space="preserve">Получатель [заполнить], ИНН [заполнить], банк [заполнить], БИК [заполнить], расчётный счёт [заполнить], корреспондентский счёт [заполнить]. Проверка принадлежности счёта [подтверждение]. Смена счёта — отдельное подписанное уведомление и проверка; старые обязательства не переводятся новому лицу автоматически.</w:t>
      </w:r>
    </w:p>
    <w:p>
      <w:pPr>
        <w:widowControl/>
      </w:pPr>
      <w:r>
        <w:t xml:space="preserve">Реквизиты Агента для комиссии [заполнить по банковской справке]. Документ не является распоряжением перевести деньги до проверки реквизитов обеими сторонами.</w:t>
      </w:r>
    </w:p>
    <w:p>
      <w:pPr>
        <w:pStyle w:val="Heading1"/>
      </w:pPr>
      <w:r>
        <w:t xml:space="preserve">4. Подготовка и логистика</w:t>
      </w:r>
    </w:p>
    <w:p>
      <w:pPr>
        <w:widowControl/>
      </w:pPr>
      <w:r>
        <w:t xml:space="preserve">Кто готовит груз [заполнить], время подтверждения/подготовки [заполнить], упаковка и её цена [заполнить], точка передачи [заполнить], перевозчик/исполнитель [заполнить], риск и фиксация передачи [заполнить], адрес возврата [заполнить], порядок недоставки и обратной перевозки [заполнить].</w:t>
      </w:r>
    </w:p>
    <w:p>
      <w:pPr>
        <w:pStyle w:val="Heading1"/>
      </w:pPr>
      <w:r>
        <w:t xml:space="preserve">5. Подписание</w:t>
      </w:r>
    </w:p>
    <w:p>
      <w:pPr>
        <w:widowControl/>
      </w:pPr>
      <w:r>
        <w:t xml:space="preserve">Продавец подтверждает получение перечисленных редакций и приложений. Договор начинает действовать после подписания заполненных существенных условий обеими сторонами. Агент: Дроздов А. И., подпись/дата [заполнить]. Продавец: ФИО/полномочия, подпись/дата [заполнить].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продавца и коммерческое приложение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2026-10-08T16:57:55.669Z</dcterms:created>
  <dcterms:modified xsi:type="dcterms:W3CDTF">2026-10-08T16:57:55.669Z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