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Заявление продавца и коммерческое приложение</w:t>
      </w:r>
    </w:p>
    <w:p>
      <w:r>
        <w:t xml:space="preserve">Формы для ИП/ООО, ставки, банковские реквизиты и полномочия.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Заявление о присоединении</w:t>
      </w:r>
    </w:p>
    <w:p>
      <w:pPr>
        <w:widowControl/>
      </w:pPr>
      <w:r>
        <w:t xml:space="preserve">Агент: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p>
      <w:pPr>
        <w:widowControl/>
      </w:pPr>
      <w:r>
        <w:t xml:space="preserve">Договор: агентский договор «Завез», редакция [версия], номер [заполнить], дата [заполнить]. Продавец выбирает форму: ИП либо ООО. Для ИП: ФИО [заполнить], ИНН [заполнить], ОГРНИП [заполнить], адрес корреспонденции [заполнить]. Для ООО: полное наименование [заполнить], ИНН [заполнить], КПП [заполнить], ОГРН [заполнить], юридический и почтовый адреса [заполнить], руководитель/представитель [заполнить], основание полномочий [устав/доверенность с реквизитами].</w:t>
      </w:r>
    </w:p>
    <w:p>
      <w:pPr>
        <w:widowControl/>
      </w:pPr>
      <w:r>
        <w:t xml:space="preserve">Рынки и точки [перечень]. Ответственные и разрешённые роли [перечень]. Электронная почта юридических сообщений [заполнить]. ЭДО и идентификатор [заполнить]. Порядок подтверждения доставки [заполнить]. Подтверждение актуальной выписки, полномочий и прав на товар [документы].</w:t>
      </w:r>
    </w:p>
    <w:p>
      <w:pPr>
        <w:pStyle w:val="Heading1"/>
      </w:pPr>
      <w:r>
        <w:t xml:space="preserve">2. Коммерческие условия</w:t>
      </w:r>
    </w:p>
    <w:p>
      <w:pPr>
        <w:widowControl/>
      </w:pPr>
      <w:r>
        <w:t xml:space="preserve">Дата начала [заполнить]. Комиссия [ставка/фиксированная сумма], база [товарная выручка либо иной точно определённый состав], минимум [сумма либо отсутствует]. Что начисляется при полном/частичном возврате [заполнить]. Дополнительные услуги и цена каждой [заполнить либо отсутствуют]. Режим Агента: планируется УСН «доходы»; фактическое основание и дата применения [подтвердить]. НДС Агента и Продавца, основание освобождения либо ставка [подтвердить на дату операции]. Включён ли НДС в согласованную цену услуг [заполнить]. Изменение налогового статуса сообщается без промедления; оно не разрешает задним числом увеличить согласованную цену. Патент на разработку ПО не заменяет налогового основания агентской деятельности.</w:t>
      </w:r>
    </w:p>
    <w:p>
      <w:pPr>
        <w:widowControl/>
      </w:pPr>
      <w:r>
        <w:t xml:space="preserve">Схема оплаты [прямо Продавцу / согласованный банк]. Полномочие Агента принимать деньги [есть/нет, конкретные пределы]. Банк для планируемой схемы — Т-Банк; конкретный продукт, номер договора и разрешённая модель приёма денег за продавцов [подтвердить документами]. Обычное подключение эквайринга не подтверждает разрешение на агрегирование чужой выручки. Для каждой операции (предоплата, полный расчёт, возврат, коррекция) указываются обязанное лицо, владелец и пользователь ККТ, момент формирования чека, обязательные реквизиты продавца/агента, способ передачи покупателю и действия при ошибке [заполнить матрицу]. Схема должна соответствовать агентированию от имени Продавца и 54-ФЗ; договорное поручение не меняет установленную законом обязанность применения ККТ. Комиссия банка, её плательщик и порядок отражения [заполнить]. База вознаграждения определяется до удержания банковской комиссии, если в подписанном тарифе прямо не установлена другая формула; доход Агента не уменьшается на эквайринг автоматически при УСН «доходы». Транзитная сумма за товар и собственные услуги выделяются отдельно. Платёжный провайдер и исходное подключение [заполнить].</w:t>
      </w:r>
    </w:p>
    <w:p>
      <w:pPr>
        <w:widowControl/>
      </w:pPr>
      <w:r>
        <w:t xml:space="preserve">Отчётный период [заполнить], срок передачи отчёта [заполнить], срок возражений [30 дней либо иной согласованный]. Основание и срок оплаты комиссии при прямом платеже продавцу [заполнить]. Основание разрешения выплаты после закрытия заказа [заполнить], предельный срок выплаты [число рабочих дней], сроки сверки и разбора спорной части [заполнить]. Не заполненные условия не заменяются демонстрационными настройками.</w:t>
      </w:r>
    </w:p>
    <w:p>
      <w:pPr>
        <w:pStyle w:val="Heading1"/>
      </w:pPr>
      <w:r>
        <w:t xml:space="preserve">3. Банковские реквизиты</w:t>
      </w:r>
    </w:p>
    <w:p>
      <w:pPr>
        <w:widowControl/>
      </w:pPr>
      <w:r>
        <w:t xml:space="preserve">Получатель [заполнить], ИНН [заполнить], банк [заполнить], БИК [заполнить], расчётный счёт [заполнить], корреспондентский счёт [заполнить]. Проверка принадлежности счёта [подтверждение]. Смена счёта — отдельное подписанное уведомление и проверка; старые обязательства не переводятся новому лицу автоматически.</w:t>
      </w:r>
    </w:p>
    <w:p>
      <w:pPr>
        <w:widowControl/>
      </w:pPr>
      <w:r>
        <w:t xml:space="preserve">Реквизиты Агента для комиссии [заполнить по банковской справке]. Документ не является распоряжением перевести деньги до проверки реквизитов обеими сторонами.</w:t>
      </w:r>
    </w:p>
    <w:p>
      <w:pPr>
        <w:pStyle w:val="Heading1"/>
      </w:pPr>
      <w:r>
        <w:t xml:space="preserve">4. Подготовка и логистика</w:t>
      </w:r>
    </w:p>
    <w:p>
      <w:pPr>
        <w:widowControl/>
      </w:pPr>
      <w:r>
        <w:t xml:space="preserve">Кто готовит груз [заполнить], время подтверждения/подготовки [заполнить], упаковка и её цена [заполнить], точка передачи [заполнить], перевозчик/исполнитель [заполнить], риск и фиксация передачи [заполнить], адрес возврата, получатель, контакт и часы приёмки, предоставляемые покупателю до покупки и при доставке [заполнить], порядок недоставки и обратной перевозки [заполнить].</w:t>
      </w:r>
    </w:p>
    <w:p>
      <w:pPr>
        <w:pStyle w:val="Heading1"/>
      </w:pPr>
      <w:r>
        <w:t xml:space="preserve">5. Подписание</w:t>
      </w:r>
    </w:p>
    <w:p>
      <w:pPr>
        <w:widowControl/>
      </w:pPr>
      <w:r>
        <w:t xml:space="preserve">Продавец подтверждает получение перечисленных редакций и приложений. Договор начинает действовать после подписания заполненных существенных условий обеими сторонами. Агент: Дроздов А. И., подпись/дата [заполнить]. Продавец: ФИО/полномочия, подпись/дата [заполнить].</w:t>
      </w:r>
    </w:p>
    <w:p>
      <w:pPr>
        <w:pStyle w:val="Heading1"/>
      </w:pPr>
      <w:r>
        <w:t xml:space="preserve">6. Возвраты, обеспечение и полномочия</w:t>
      </w:r>
    </w:p>
    <w:p>
      <w:pPr>
        <w:widowControl/>
      </w:pPr>
      <w:r>
        <w:t xml:space="preserve">Срок пополнения для возврата после выплаты [пять рабочих дней по договору либо согласованный более короткий срок]. Канал срочного запроса и подтверждающие документы [заполнить]. Перерасчёт комиссии при возврате, плата банка и порядок банковского оспаривания [заполнить]. Резерв [не предусмотрен / отдельное подписанное условие с основанием, формулой, максимальной суммой, сроком удержания и освобождения]. Ограничение ответственности Агента [не предусмотрено / точное отдельно согласованное условие с обязательными исключениями по договору]. Пустое поле не означает согласие на удержание или ограничение.</w:t>
      </w:r>
    </w:p>
    <w:p>
      <w:pPr>
        <w:widowControl/>
      </w:pPr>
      <w:r>
        <w:t xml:space="preserve">Перечень разрешённых юридических действий Агента [заполнить], пределы изменения предложения [заполнить], полномочия на привлечение перевозчика, хранителя и субагента [заполнить либо отсутствуют]. Доверенность, включая машиночитаемую, когда она обязательна [номер, срок, объём, способ проверки]. Подписанты и подтверждающие документы [заполнить].</w:t>
      </w:r>
    </w:p>
    <w:p>
      <w:pPr>
        <w:widowControl/>
      </w:pPr>
      <w:r>
        <w:t xml:space="preserve">До начала исполнения стороны сверяют все условия: каждое неприменимое поле отмечается «не применяется», существенное незаполненное условие согласуется; отсутствие сведений о банковском или налоговом подключении не заменяется подписью под предположением. Подписывается и сохраняется единый комплект с точными версиями всех приложений.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продавца и коммерческое приложение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2026-10-08T15:52:19.612Z</dcterms:created>
  <dcterms:modified xsi:type="dcterms:W3CDTF">2026-10-08T15:52:19.612Z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