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хранения и складских услуг</w:t>
      </w:r>
    </w:p>
    <w:p>
      <w:r>
        <w:t xml:space="preserve">Будущий склад: собственник груза, приёмка, хранение и выдача.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Заказчик: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Хранитель [ИП/ООО, полные реквизиты, адрес склада, представитель/полномочия]. Договор [дата/номер]. Хранитель принимает конкретный товар по актам, обеспечивает сохранность и возвращает надлежащему лицу. Аренда помещения и трудовые отношения с работниками не подменяются этим договором; при необходимости заключаются отдельно.</w:t>
      </w:r>
    </w:p>
    <w:p>
      <w:pPr>
        <w:widowControl/>
      </w:pPr>
      <w:r>
        <w:t xml:space="preserve">По каждой партии указываются собственник, основание полномочий Заказчика на передачу чужого товара, номенклатура, количество/места, состояние, стоимость, срок, условия хранения и запрещённые категории. Агент не вправе передавать товар продавца на хранение без полномочия.</w:t>
      </w:r>
    </w:p>
    <w:p>
      <w:pPr>
        <w:pStyle w:val="Heading1"/>
      </w:pPr>
      <w:r>
        <w:t xml:space="preserve">2. Услуги и цена</w:t>
      </w:r>
    </w:p>
    <w:p>
      <w:pPr>
        <w:widowControl/>
      </w:pPr>
      <w:r>
        <w:t xml:space="preserve">Приложение: хранение [тариф/единица/период], приёмка, подбор, упаковка, погрузка [перечень и цены], НДС [подтвердить], срок оплаты [заполнить], лимиты и нормы [согласовать]. Несогласованные услуги не начисляются. Акты отражают фактические операции и партии.</w:t>
      </w:r>
    </w:p>
    <w:p>
      <w:pPr>
        <w:pStyle w:val="Heading1"/>
      </w:pPr>
      <w:r>
        <w:t xml:space="preserve">3. Сохранность и выдача</w:t>
      </w:r>
    </w:p>
    <w:p>
      <w:pPr>
        <w:widowControl/>
      </w:pPr>
      <w:r>
        <w:t xml:space="preserve">Товар разных собственников учитывается раздельно; использование, продажа, обезличивание и смешение не допускаются без законного согласования. При приёмке фиксируются расхождения; при выдаче проверяются полномочия получателя и поручение. Инвентаризация, доступ и срок отчёта [согласовать]. За утрату/повреждение Хранитель отвечает по правилам применимого договора хранения; безусловное исключение ответственности не устанавливается.</w:t>
      </w:r>
    </w:p>
    <w:p>
      <w:pPr>
        <w:widowControl/>
      </w:pPr>
      <w:r>
        <w:t xml:space="preserve">При опасности, повреждении или невозможности хранения Хранитель немедленно сообщает Заказчику и принимает законные меры сохранности. Субхранитель допускается только в согласованных и законных случаях. Контакты получателей используются исключительно для выдачи, при необходимости с отдельным поручением обработки данных.</w:t>
      </w:r>
    </w:p>
    <w:p>
      <w:pPr>
        <w:pStyle w:val="Heading1"/>
      </w:pPr>
      <w:r>
        <w:t xml:space="preserve">4. Завершение</w:t>
      </w:r>
    </w:p>
    <w:p>
      <w:pPr>
        <w:widowControl/>
      </w:pPr>
      <w:r>
        <w:t xml:space="preserve">Порядок прекращения, вывоза и срок возврата [согласовать]. Удержание, продажа невостребованного груза и распределение выручки допускаются только по закону; склад не становится собственником из-за неоплаты автоматически. Итоговая сверка показывает партии, собственников, остатки и услуги. Подписи, документы склада, тарифное приложение и формы актов [заполнить].</w:t>
      </w:r>
    </w:p>
    <w:p>
      <w:pPr>
        <w:pStyle w:val="Heading1"/>
      </w:pPr>
      <w:r>
        <w:t xml:space="preserve">5. Учёт, контроль и ответственность</w:t>
      </w:r>
    </w:p>
    <w:p>
      <w:pPr>
        <w:widowControl/>
      </w:pPr>
      <w:r>
        <w:t xml:space="preserve">Акт приёмки содержит идентификатор партии, собственника, законное основание передачи, документы стоимости, количество, состояние и фотографии при наличии. Форма складского документа определяется применимым видом хранения; обычный акт не подменяет обязательный документ товарного склада. Условия температуры, влажности, доступа, противопожарной безопасности и обращения с особыми категориями устанавливаются в приложении; неподходящий груз не принимается без законного решения об условиях.</w:t>
      </w:r>
    </w:p>
    <w:p>
      <w:pPr>
        <w:widowControl/>
      </w:pPr>
      <w:r>
        <w:t xml:space="preserve">Порядок плановой и внеплановой инвентаризации, проверки Заказчиком, сроки сообщения расхождений и передачи отчётов [заполнить]. Хранитель без промедления сообщает об утрате, недостаче, повреждении, требованиях третьих лиц и ограничении доступа. Передача субхранителю не прекращает ответственность первоначального Хранителя в предусмотренных законом пределах. Страхование [полис и покрытие / не предусмотрено]; наличие страхования не заменяет ответственность.</w:t>
      </w:r>
    </w:p>
    <w:p>
      <w:pPr>
        <w:widowControl/>
      </w:pPr>
      <w:r>
        <w:t xml:space="preserve">Возмещение за утрату, недостачу и повреждение определяется применимыми нормами о хранении и подтверждёнными обстоятельствами; стоимость в учёте не устанавливает произвольный предел возмещения. Претензии сопровождаются доступными доказательствами, сохраняются законные сроки заявления скрытых повреждений и недостачи. При выдаче нельзя требовать безусловного отказа от всех последующих требований.</w:t>
      </w:r>
    </w:p>
    <w:p>
      <w:pPr>
        <w:widowControl/>
      </w:pPr>
      <w:r>
        <w:t xml:space="preserve">Уполномоченные лица, способ проверки распоряжения на выдачу, юридические контакты и подтверждение доставки сообщений [заполнить]. Договор, акты и изменения подписываются на бумаге либо в согласованном ЭДО с надлежащей электронной подписью. После прекращения стороны фиксируют фактическую выдачу, неполученные партии, задолженность и законный порядок дальнейшего хранения; одна отметка в системе не подтверждает возврат груза.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и складских услуг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2026-10-08T15:56:36.655Z</dcterms:created>
  <dcterms:modified xsi:type="dcterms:W3CDTF">2026-10-08T15:56:36.655Z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